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_GB2312" w:hAnsi="仿宋" w:eastAsia="仿宋_GB2312"/>
          <w:sz w:val="30"/>
          <w:szCs w:val="30"/>
        </w:rPr>
      </w:pPr>
      <w:r>
        <w:rPr>
          <w:rFonts w:hint="eastAsia" w:ascii="仿宋_GB2312" w:hAnsi="仿宋" w:eastAsia="仿宋_GB2312"/>
          <w:sz w:val="30"/>
          <w:szCs w:val="30"/>
        </w:rPr>
        <w:t>附件2：</w:t>
      </w:r>
    </w:p>
    <w:p>
      <w:pPr>
        <w:spacing w:line="480" w:lineRule="exact"/>
        <w:jc w:val="center"/>
        <w:rPr>
          <w:rFonts w:hint="eastAsia" w:ascii="仿宋_GB2312" w:hAnsi="华文中宋" w:eastAsia="仿宋_GB2312"/>
          <w:b/>
          <w:sz w:val="30"/>
          <w:szCs w:val="30"/>
        </w:rPr>
      </w:pPr>
      <w:bookmarkStart w:id="0" w:name="_GoBack"/>
      <w:r>
        <w:rPr>
          <w:rFonts w:hint="eastAsia" w:ascii="仿宋_GB2312" w:hAnsi="华文中宋" w:eastAsia="仿宋_GB2312"/>
          <w:b/>
          <w:sz w:val="30"/>
          <w:szCs w:val="30"/>
        </w:rPr>
        <w:t>申报表填表说明</w:t>
      </w:r>
    </w:p>
    <w:bookmarkEnd w:id="0"/>
    <w:p>
      <w:pPr>
        <w:spacing w:line="480" w:lineRule="exact"/>
        <w:rPr>
          <w:rFonts w:hint="eastAsia" w:ascii="仿宋_GB2312" w:eastAsia="仿宋_GB2312"/>
          <w:sz w:val="30"/>
          <w:szCs w:val="30"/>
        </w:rPr>
      </w:pPr>
    </w:p>
    <w:p>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2019四川数字经济创新企业100强申报表主要栏目填表说明如下：</w:t>
      </w:r>
    </w:p>
    <w:p>
      <w:pPr>
        <w:pStyle w:val="4"/>
        <w:spacing w:line="480" w:lineRule="exact"/>
        <w:ind w:firstLine="600"/>
        <w:rPr>
          <w:rFonts w:hint="eastAsia" w:ascii="仿宋_GB2312" w:hAnsi="仿宋" w:eastAsia="仿宋_GB2312"/>
          <w:sz w:val="30"/>
          <w:szCs w:val="30"/>
        </w:rPr>
      </w:pPr>
      <w:r>
        <w:rPr>
          <w:rFonts w:hint="eastAsia" w:ascii="仿宋_GB2312" w:hAnsi="仿宋" w:eastAsia="仿宋_GB2312"/>
          <w:sz w:val="30"/>
          <w:szCs w:val="30"/>
        </w:rPr>
        <w:t>一、企业性质栏：请从“国有”、“民营”两种性质中选一项打√。国有是指国有及国有控股企业,民营是指集体和私营企业。</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二、生产的产品或提供的服务栏：指企业生产的主要产品或提供的主要服务，按在营业收入的占比由大到小排列，最多不超过3项。(必须填写)</w:t>
      </w:r>
    </w:p>
    <w:p>
      <w:pPr>
        <w:pStyle w:val="2"/>
        <w:spacing w:line="480" w:lineRule="exact"/>
        <w:jc w:val="both"/>
        <w:rPr>
          <w:rFonts w:hint="eastAsia" w:hAnsi="仿宋"/>
          <w:szCs w:val="30"/>
        </w:rPr>
      </w:pPr>
      <w:r>
        <w:rPr>
          <w:rFonts w:hint="eastAsia" w:hAnsi="仿宋"/>
          <w:szCs w:val="30"/>
        </w:rPr>
        <w:t>三、指标栏：营业收入、海外收入、净利润、归属母公司净利润、资产总额、海外资产、所有者权益、归属母公司所有者权益、纳税总额、研发费用、员工总数和海外员工等。所有指标均按企业合并财务报表的数据填报，金额单位：万元人民币。合并财务报表的合并范围应当以控制为基础予以确定。</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 xml:space="preserve">营业收入：不含增值税收入，包括企业的所有收入，即主营业务和非主营业务、境内和境外的收入。商业银行的营业收入为利息收入与非利息营业收入之和(不减掉对应的支出)。保险公司的营业收入是保险费和年金收入扣除储蓄的资本收益或损失。 </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净利润：利润总额扣除所得税。</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资产总额：年末的资产总额。</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所有者权益：年末的所有者权益总额。</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归属母公司所有者权益：所有者权益扣除少数股东权益，即归属于母公司所有者权益。</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收入。</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员工总数：年度平均从业人数（含所有被合并报表企业的人数）。</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海外收入、海外资产、海外员工：指企业在中国大陆以外的营业收入、资产、员工。海外收入以平均汇率折算,海外资产以年底汇率折算。</w:t>
      </w:r>
    </w:p>
    <w:p>
      <w:pPr>
        <w:spacing w:line="480" w:lineRule="exact"/>
        <w:ind w:right="-289" w:firstLine="600" w:firstLineChars="200"/>
        <w:rPr>
          <w:rFonts w:hint="eastAsia" w:ascii="仿宋_GB2312" w:hAnsi="仿宋" w:eastAsia="仿宋_GB2312"/>
          <w:sz w:val="30"/>
          <w:szCs w:val="30"/>
        </w:rPr>
      </w:pPr>
      <w:r>
        <w:rPr>
          <w:rFonts w:hint="eastAsia" w:ascii="仿宋_GB2312" w:hAnsi="仿宋" w:eastAsia="仿宋_GB2312"/>
          <w:sz w:val="30"/>
          <w:szCs w:val="30"/>
        </w:rPr>
        <w:t>四、企业信息栏：请按照要求填写或打√。</w:t>
      </w:r>
    </w:p>
    <w:p>
      <w:pPr>
        <w:spacing w:line="480" w:lineRule="exact"/>
        <w:ind w:right="-287" w:firstLine="600" w:firstLineChars="200"/>
        <w:rPr>
          <w:rFonts w:hint="eastAsia" w:ascii="仿宋_GB2312" w:hAnsi="仿宋" w:eastAsia="仿宋_GB2312"/>
          <w:sz w:val="30"/>
          <w:szCs w:val="30"/>
        </w:rPr>
      </w:pPr>
      <w:r>
        <w:rPr>
          <w:rFonts w:hint="eastAsia" w:ascii="仿宋_GB2312" w:hAnsi="仿宋" w:eastAsia="仿宋_GB2312"/>
          <w:sz w:val="30"/>
          <w:szCs w:val="30"/>
        </w:rPr>
        <w:t>五、为了便于数据分析，所有填报栏目一定要填全，某些指标（如海外资产）没有数据，应填“0”，指标栏不能留空白。资料要仔细核对，保证名称及数据的准确性，并请签字、盖章。</w:t>
      </w:r>
    </w:p>
    <w:p>
      <w:pPr>
        <w:spacing w:line="480" w:lineRule="exact"/>
        <w:rPr>
          <w:rFonts w:hint="eastAsia" w:ascii="仿宋_GB2312" w:eastAsia="仿宋_GB2312"/>
          <w:sz w:val="30"/>
          <w:szCs w:val="30"/>
        </w:rPr>
      </w:pPr>
    </w:p>
    <w:p>
      <w:pPr>
        <w:spacing w:line="480" w:lineRule="exact"/>
        <w:ind w:firstLine="600" w:firstLineChars="200"/>
        <w:rPr>
          <w:rFonts w:hint="eastAsia" w:ascii="仿宋_GB2312" w:eastAsia="仿宋_GB2312"/>
          <w:sz w:val="30"/>
          <w:szCs w:val="30"/>
        </w:rPr>
      </w:pPr>
    </w:p>
    <w:p>
      <w:pPr>
        <w:spacing w:line="48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 </w:t>
      </w:r>
    </w:p>
    <w:p>
      <w:pPr>
        <w:spacing w:line="560" w:lineRule="exact"/>
        <w:rPr>
          <w:rFonts w:hint="default" w:ascii="楷体_GB2312" w:eastAsia="楷体_GB2312"/>
          <w:b/>
          <w:bCs/>
          <w:sz w:val="44"/>
          <w:lang w:val="en-US" w:eastAsia="zh-CN"/>
        </w:rPr>
      </w:pPr>
    </w:p>
    <w:p/>
    <w:sectPr>
      <w:footerReference r:id="rId3" w:type="default"/>
      <w:footerReference r:id="rId4" w:type="even"/>
      <w:pgSz w:w="11906" w:h="16838"/>
      <w:pgMar w:top="1134" w:right="1361" w:bottom="1134" w:left="1361"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63734"/>
    <w:rsid w:val="1BB6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widowControl/>
      <w:spacing w:line="440" w:lineRule="exact"/>
      <w:ind w:right="-289" w:firstLine="570"/>
      <w:jc w:val="left"/>
    </w:pPr>
    <w:rPr>
      <w:rFonts w:ascii="仿宋_GB2312" w:eastAsia="仿宋_GB2312"/>
      <w:kern w:val="0"/>
      <w:sz w:val="30"/>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Body Text Indent 3"/>
    <w:basedOn w:val="1"/>
    <w:uiPriority w:val="0"/>
    <w:pPr>
      <w:spacing w:line="440" w:lineRule="exact"/>
      <w:ind w:right="-289" w:firstLine="560" w:firstLineChars="200"/>
    </w:pPr>
    <w:rPr>
      <w:rFonts w:ascii="宋体" w:hAnsi="宋体"/>
      <w:sz w:val="28"/>
      <w:szCs w:val="32"/>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2019-07-12T03:35:00Z</dcterms:created>
  <dc:creator>吴军（四川企联）</dc:creator>
  <cp:lastModifiedBy>吴军（四川企联）</cp:lastModifiedBy>
  <dcterms:modified xsi:type="dcterms:W3CDTF">2019-07-12T03:35:54Z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